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6096"/>
        </w:tabs>
        <w:spacing w:line="280" w:lineRule="exact"/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мероприятий отделом органов внутренних дел Круглянского райисполкома по предупреждению хищений материально-технических средств, поддержанию дорожной безопасности, укреплению законности и дисциплины на объектах агропромышленного комплекса в период подготовки и проведения посевных работ</w:t>
      </w:r>
    </w:p>
    <w:p>
      <w:pPr>
        <w:rPr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качественного проведения весенних полевых работ 2020 года, предотвращения преступных посягательств на товарно-материальные ценности сельскохозяйственных организаций, выявления фактов бесхозяйственности и бездействия должностных лиц, ответственных за выполнение указанных работ, в том числе связанных с ненадлежащим техническим состоянием автомобильной и сельскохозяйственной техники (далее - техники), а также для выполнения распоряжения МВД Республики Беларусь от 25 февраля 2020 года № 18 «О проведении</w:t>
      </w:r>
      <w:proofErr w:type="gramEnd"/>
      <w:r>
        <w:rPr>
          <w:sz w:val="28"/>
          <w:szCs w:val="28"/>
        </w:rPr>
        <w:t xml:space="preserve"> мероприятий в период весенних полевых работ 2020 года» (далее – распоряжение МВД) </w:t>
      </w:r>
      <w:proofErr w:type="spellStart"/>
      <w:r>
        <w:rPr>
          <w:sz w:val="28"/>
          <w:szCs w:val="28"/>
        </w:rPr>
        <w:t>Круглянским</w:t>
      </w:r>
      <w:proofErr w:type="spellEnd"/>
      <w:r>
        <w:rPr>
          <w:sz w:val="28"/>
          <w:szCs w:val="28"/>
        </w:rPr>
        <w:t xml:space="preserve"> РОВД </w:t>
      </w:r>
      <w:r>
        <w:rPr>
          <w:color w:val="000000"/>
          <w:sz w:val="28"/>
          <w:szCs w:val="28"/>
        </w:rPr>
        <w:t>осуществлен ряд организационно-практических мероприятий, направленных на профилактику правонарушений в сфере АПК.</w:t>
      </w:r>
    </w:p>
    <w:p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Круглянском</w:t>
      </w:r>
      <w:proofErr w:type="spellEnd"/>
      <w:r>
        <w:rPr>
          <w:color w:val="000000"/>
          <w:sz w:val="28"/>
          <w:szCs w:val="28"/>
        </w:rPr>
        <w:t xml:space="preserve"> РОВД реализуются мероприятия, предписанные распоряжением, создана рабочая группа, осуществляющая проведение в сельскохозяйственных организациях района комплекс мониторинговых, профилактических и оперативно-розыскных мероприятий, в состав которой вошли сотрудники подразделений РОВД:  группы по борьбе с экономическими преступлениями; отделения охраны правопорядка и профилактики; отделения государственной автомобильной инспекции, возглавляемые, соответственно, Ходкевичем Н.С., </w:t>
      </w:r>
      <w:proofErr w:type="spellStart"/>
      <w:r>
        <w:rPr>
          <w:color w:val="000000"/>
          <w:sz w:val="28"/>
          <w:szCs w:val="28"/>
        </w:rPr>
        <w:t>Маханьковым</w:t>
      </w:r>
      <w:proofErr w:type="spellEnd"/>
      <w:r>
        <w:rPr>
          <w:color w:val="000000"/>
          <w:sz w:val="28"/>
          <w:szCs w:val="28"/>
        </w:rPr>
        <w:t xml:space="preserve"> В.К. и Фроловым С.В. </w:t>
      </w:r>
      <w:proofErr w:type="gramEnd"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be-BY"/>
        </w:rPr>
        <w:t xml:space="preserve">В результате проведенных мероприятий мониторингу подвергнуты все 8 сельхозорганизаций (ОАО “Друть Агро”, ОАО “Круглянская Искра”, ОАО “Комсеничи”, КСУП “Круглянский Агро”, КСУП “Некрасово Агро” и ЗАО АСБ “Агро Тетерино”), </w:t>
      </w:r>
      <w:r>
        <w:rPr>
          <w:sz w:val="28"/>
          <w:szCs w:val="28"/>
        </w:rPr>
        <w:t>осмотрено 1138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единиц техники, из которых: автотранспорт (грузовой) – 79, трактора – 188, погрузчики – 26, иная сельскохозяйственная техника – 845. В нерабочем состоянии находилось 50 единиц,  в текущем ремонте находится 161 единица техники.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нахождения техники в нерабочем и разукомплектованном состоянии являются: установка запчастей на другие агрегаты, нахождение узлов и агрегатов в ремонте вне сельскохозяйственной организации, отсутствие финансовой возможности. </w:t>
      </w:r>
    </w:p>
    <w:p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действия распоряжения МВД сотрудниками органов внутренних дел проведен мониторинг объектов хранения товарно-материальных ценностей на предмет технической </w:t>
      </w:r>
      <w:proofErr w:type="spellStart"/>
      <w:r>
        <w:rPr>
          <w:sz w:val="28"/>
          <w:szCs w:val="28"/>
        </w:rPr>
        <w:t>укреплённости</w:t>
      </w:r>
      <w:proofErr w:type="spellEnd"/>
      <w:r>
        <w:rPr>
          <w:sz w:val="28"/>
          <w:szCs w:val="28"/>
        </w:rPr>
        <w:t xml:space="preserve"> и обеспечения сохранности собственности.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мониторингов сотрудниками РОВД проводятся мероприятия на выявления  фактов нарушений со стороны должностных лиц сельскохозяйственных организациях района порядка учета и хранения лома и отходов металлов. </w:t>
      </w:r>
      <w:proofErr w:type="gramStart"/>
      <w:r>
        <w:rPr>
          <w:sz w:val="28"/>
          <w:szCs w:val="28"/>
        </w:rPr>
        <w:t xml:space="preserve">Установленная законом ответственность предусмотрена ст. </w:t>
      </w:r>
      <w:r>
        <w:rPr>
          <w:sz w:val="28"/>
          <w:szCs w:val="28"/>
        </w:rPr>
        <w:lastRenderedPageBreak/>
        <w:t xml:space="preserve">12.2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Республики Беларусь - н</w:t>
      </w:r>
      <w:r>
        <w:rPr>
          <w:bCs/>
          <w:sz w:val="28"/>
          <w:szCs w:val="28"/>
        </w:rPr>
        <w:t xml:space="preserve">арушение порядка учета, сбора, хранения, транспортировки, использования, заготовки (закупки) или реализации металлопродукции, черных и цветных металлов», </w:t>
      </w:r>
      <w:r>
        <w:rPr>
          <w:sz w:val="28"/>
          <w:szCs w:val="28"/>
        </w:rPr>
        <w:t xml:space="preserve">влечет наложение штрафа в размере до пятидесяти базовых </w:t>
      </w:r>
      <w:hyperlink r:id="rId7" w:tooltip="Справочная информация &quot;Размер базовой величины в Республике Беларусь&quot;{КонсультантПлюс}" w:history="1">
        <w:r>
          <w:rPr>
            <w:sz w:val="28"/>
            <w:szCs w:val="28"/>
          </w:rPr>
          <w:t>величин</w:t>
        </w:r>
      </w:hyperlink>
      <w:r>
        <w:rPr>
          <w:sz w:val="28"/>
          <w:szCs w:val="28"/>
        </w:rPr>
        <w:t>, на индивидуального предпринимателя - до пятидесяти базовых величин, а на юридическое лицо - до трехсот процентов от стоимости металлопродукции, черных и цветных металлов, изделий, их содержащих, а также</w:t>
      </w:r>
      <w:proofErr w:type="gramEnd"/>
      <w:r>
        <w:rPr>
          <w:sz w:val="28"/>
          <w:szCs w:val="28"/>
        </w:rPr>
        <w:t xml:space="preserve"> их лома и отходов.</w:t>
      </w:r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 ряд мер по предотвращению вреда экономическим интересам государства, св</w:t>
      </w:r>
      <w:r>
        <w:rPr>
          <w:sz w:val="28"/>
          <w:szCs w:val="28"/>
        </w:rPr>
        <w:t>язанного с обнаружением в хозяйствах техники, а также оборудования используемого в сельскохозяйственном производстве, не учтенного по бухгалтерскому учету, но фактически имеющегося в наличии и пригодного к эксплуатации.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ООПП в сельскохозяйственных организациях изучаются условия хранения товарно-материальных ценностей (наличие сторожевой охраны, необходимого освещения, исправности запирающих устройств, целостности ограждения и т.п.), принимаются меры по выявлению причин и условий, способствующих совершению хищений, разукомплектованию техники с последующим внесением представлений (предложений, рекомендаций) для их устранения. При наличии оснований принимаются меры по незамедлительному привлечению должностных лиц к ответственности в соответствии с законодательством.</w:t>
      </w:r>
      <w:r>
        <w:rPr>
          <w:spacing w:val="-4"/>
          <w:sz w:val="28"/>
          <w:szCs w:val="28"/>
        </w:rPr>
        <w:t xml:space="preserve"> Кроме того, осуществляется мониторинг </w:t>
      </w:r>
      <w:r>
        <w:rPr>
          <w:sz w:val="28"/>
          <w:szCs w:val="28"/>
        </w:rPr>
        <w:t>качества</w:t>
      </w:r>
      <w:r>
        <w:rPr>
          <w:spacing w:val="-4"/>
          <w:sz w:val="28"/>
          <w:szCs w:val="28"/>
        </w:rPr>
        <w:t xml:space="preserve"> выполнения должностных обязанностей работниками </w:t>
      </w:r>
      <w:r>
        <w:rPr>
          <w:sz w:val="28"/>
          <w:szCs w:val="28"/>
        </w:rPr>
        <w:t xml:space="preserve">сельскохозяйственных организаций,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физическим состоянием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 привлечением представителей местных исполнительных и распорядительных органов. В ходе мониторинга сотрудниками ООПП с работниками АПК проводятся инструктивные беседы о правовых последствиях ненадлежащего осуществления ими своих обязанностей. Также, в рамках выполнения Распоряжений МВД проводятся рабочие встречи с руководителями сельскохозяйственных организаций, на которых им вносятся предложения по охране мест нахождения товарно-материальных ценностей (техники, запчастей, горюче-смазочных материалов) подразделениями Департамента охраны МВД, оборудования средствами и системами охраны, видеонаблюдения.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мониторингов направлено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представлений должностным лицам ОАО «</w:t>
      </w:r>
      <w:proofErr w:type="spellStart"/>
      <w:r>
        <w:rPr>
          <w:sz w:val="28"/>
          <w:szCs w:val="28"/>
        </w:rPr>
        <w:t>Комсеничи</w:t>
      </w:r>
      <w:proofErr w:type="spellEnd"/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Круглянская</w:t>
      </w:r>
      <w:proofErr w:type="spellEnd"/>
      <w:r>
        <w:rPr>
          <w:sz w:val="28"/>
          <w:szCs w:val="28"/>
        </w:rPr>
        <w:t xml:space="preserve"> Искра», ОАО «</w:t>
      </w:r>
      <w:proofErr w:type="spellStart"/>
      <w:r>
        <w:rPr>
          <w:sz w:val="28"/>
          <w:szCs w:val="28"/>
        </w:rPr>
        <w:t>Круглянский</w:t>
      </w:r>
      <w:proofErr w:type="spellEnd"/>
      <w:r>
        <w:rPr>
          <w:sz w:val="28"/>
          <w:szCs w:val="28"/>
        </w:rPr>
        <w:t xml:space="preserve"> Рассвет», КСУП «</w:t>
      </w:r>
      <w:proofErr w:type="spellStart"/>
      <w:r>
        <w:rPr>
          <w:sz w:val="28"/>
          <w:szCs w:val="28"/>
        </w:rPr>
        <w:t>Круглянский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>», КСУП «</w:t>
      </w:r>
      <w:proofErr w:type="spellStart"/>
      <w:r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>» в соответствии с требованиями статьи 21 Закона Республики Беларусь «Об основах деятельности по профилактике правонарушений», по устранению причин и условий способствующих совершению правонарушений.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на территории машинно-тракторного парка  </w:t>
      </w:r>
      <w:proofErr w:type="spellStart"/>
      <w:r>
        <w:rPr>
          <w:sz w:val="28"/>
          <w:szCs w:val="28"/>
        </w:rPr>
        <w:t>а.г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Комсеничи</w:t>
      </w:r>
      <w:proofErr w:type="spellEnd"/>
      <w:r>
        <w:rPr>
          <w:sz w:val="28"/>
          <w:szCs w:val="28"/>
        </w:rPr>
        <w:t xml:space="preserve"> сломаны тыльные ворота, через которые можно </w:t>
      </w:r>
      <w:proofErr w:type="spellStart"/>
      <w:r>
        <w:rPr>
          <w:sz w:val="28"/>
          <w:szCs w:val="28"/>
        </w:rPr>
        <w:t>безпрепятственно</w:t>
      </w:r>
      <w:proofErr w:type="spellEnd"/>
      <w:r>
        <w:rPr>
          <w:sz w:val="28"/>
          <w:szCs w:val="28"/>
        </w:rPr>
        <w:t xml:space="preserve"> проникнуть на территорию.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ночь с 22.03.2020 на 23.03.2020 неизвестное лицо похитило с сеялки, находящейся на территории машинно-тракторного парка ОАО «</w:t>
      </w:r>
      <w:proofErr w:type="spellStart"/>
      <w:r>
        <w:rPr>
          <w:sz w:val="28"/>
          <w:szCs w:val="28"/>
        </w:rPr>
        <w:t>Круглянская</w:t>
      </w:r>
      <w:proofErr w:type="spellEnd"/>
      <w:r>
        <w:rPr>
          <w:sz w:val="28"/>
          <w:szCs w:val="28"/>
        </w:rPr>
        <w:t xml:space="preserve"> Искра» электродвигатель и два реле.  </w:t>
      </w:r>
      <w:proofErr w:type="gramStart"/>
      <w:r>
        <w:rPr>
          <w:sz w:val="28"/>
          <w:szCs w:val="28"/>
        </w:rPr>
        <w:t xml:space="preserve">При наличии поводов и оснований материал проверки будет направлен в </w:t>
      </w:r>
      <w:proofErr w:type="spellStart"/>
      <w:r>
        <w:rPr>
          <w:sz w:val="28"/>
          <w:szCs w:val="28"/>
        </w:rPr>
        <w:t>Круглянский</w:t>
      </w:r>
      <w:proofErr w:type="spellEnd"/>
      <w:r>
        <w:rPr>
          <w:sz w:val="28"/>
          <w:szCs w:val="28"/>
        </w:rPr>
        <w:t xml:space="preserve"> РОСК для возбуждения уголовного дела по ст. 205 УК (кража по 1 части  предусмотрено наказание в </w:t>
      </w:r>
      <w:r>
        <w:rPr>
          <w:sz w:val="28"/>
          <w:szCs w:val="28"/>
        </w:rPr>
        <w:lastRenderedPageBreak/>
        <w:t>виде общественных  работ, или штрафа, или исправительных работ на срок до двух лет, или ареста, или ограничения свободы на срок до трех лет, или лишение свободы на тот же срок.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Максимальное наказание на срок до двенадцати лет со штрафом).</w:t>
      </w:r>
      <w:proofErr w:type="gramEnd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 и ряд иных недостатков в части обеспечения сохранности товарно-материальных ценностей, на что обращено внимание руководителей сельхозпредприятий.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Круглянском</w:t>
      </w:r>
      <w:proofErr w:type="spellEnd"/>
      <w:r>
        <w:rPr>
          <w:sz w:val="28"/>
          <w:szCs w:val="28"/>
        </w:rPr>
        <w:t xml:space="preserve"> районе организована работа ночных мобильных групп, с привлечением автотранспорта предприятий и организаций района, для мониторинга организации работы сторожевой охраны.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ходе данной работы в отчетном периоде выявляются факты отсутствия сторожевой охраны. Так территория складов для хранения минеральных удобрений и зерна ЗАО АСБ «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Тетерино</w:t>
      </w:r>
      <w:proofErr w:type="spellEnd"/>
      <w:r>
        <w:rPr>
          <w:sz w:val="28"/>
          <w:szCs w:val="28"/>
        </w:rPr>
        <w:t xml:space="preserve">», расположенных вблизи машинно-тракторного парка, не охраняется </w:t>
      </w:r>
      <w:proofErr w:type="gramStart"/>
      <w:r>
        <w:rPr>
          <w:sz w:val="28"/>
          <w:szCs w:val="28"/>
        </w:rPr>
        <w:t>сторожевой</w:t>
      </w:r>
      <w:proofErr w:type="gramEnd"/>
      <w:r>
        <w:rPr>
          <w:sz w:val="28"/>
          <w:szCs w:val="28"/>
        </w:rPr>
        <w:t xml:space="preserve"> охранной. Тот же недостаток имеется и на КЗС «КСУП </w:t>
      </w:r>
      <w:proofErr w:type="spellStart"/>
      <w:r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» в д. </w:t>
      </w:r>
      <w:proofErr w:type="spellStart"/>
      <w:r>
        <w:rPr>
          <w:sz w:val="28"/>
          <w:szCs w:val="28"/>
        </w:rPr>
        <w:t>Филатово</w:t>
      </w:r>
      <w:proofErr w:type="spellEnd"/>
      <w:r>
        <w:rPr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Выявляются работники АПК, находившиеся на рабочем месте в рабочее время в состоянии алкогольного опьянения. 03.03.2020 в 14:00 часов животновод КСУП «</w:t>
      </w:r>
      <w:proofErr w:type="spellStart"/>
      <w:r>
        <w:rPr>
          <w:sz w:val="28"/>
          <w:szCs w:val="28"/>
        </w:rPr>
        <w:t>Круглянский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» находился на МТФ д. </w:t>
      </w:r>
      <w:proofErr w:type="spellStart"/>
      <w:r>
        <w:rPr>
          <w:sz w:val="28"/>
          <w:szCs w:val="28"/>
        </w:rPr>
        <w:t>Ракушево</w:t>
      </w:r>
      <w:proofErr w:type="spellEnd"/>
      <w:r>
        <w:rPr>
          <w:sz w:val="28"/>
          <w:szCs w:val="28"/>
        </w:rPr>
        <w:t xml:space="preserve"> в состоянии алкогольного опьянении, в рабочее время и на рабочем месте. Составлен административный протокол по ст. 17.3 ч. 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. (данные действия влекут наложение штрафа в размере от двух до пятнадцати базовых </w:t>
      </w:r>
      <w:hyperlink r:id="rId8" w:tooltip="Справочная информация &quot;Размер базовой величины в Республике Беларусь&quot;{КонсультантПлюс}" w:history="1">
        <w:r>
          <w:rPr>
            <w:sz w:val="28"/>
            <w:szCs w:val="28"/>
          </w:rPr>
          <w:t>величин</w:t>
        </w:r>
      </w:hyperlink>
      <w:r>
        <w:rPr>
          <w:sz w:val="28"/>
          <w:szCs w:val="28"/>
        </w:rPr>
        <w:t xml:space="preserve"> или административный арест). Аналогичный факт выявлен и в ЗАО АСБ «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Тетерино</w:t>
      </w:r>
      <w:proofErr w:type="spellEnd"/>
      <w:r>
        <w:rPr>
          <w:sz w:val="28"/>
          <w:szCs w:val="28"/>
        </w:rPr>
        <w:t>» 07.03.2020.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распоряжения МВД реализуются мероприятия, направленные на выявление хищений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результатам которых выявлены факты мелкого хищения имущества путём кражи, ответственность за которое предусмотрена ст. 10.5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Санкцией данной статьи предусмотрено  максимальное наложение штрафа в размере до пятидесяти базовых </w:t>
      </w:r>
      <w:hyperlink r:id="rId9" w:tooltip="Справочная информация &quot;Размер базовой величины в Республике Беларусь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величин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административный арест.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28.02.2020 не работающий гражданин «Ш» с территории МТФ д.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похитил муку, похищенное возвращено.</w:t>
      </w:r>
    </w:p>
    <w:p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приняты меры к выявлению правонарушений, ответственность за которые предусмотрены ч.6  ст. 12.30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, за приобретение, хранение, использование или реализацию физическими лицами окрашенного нефтяного жидкого топлива, поставляемого в установленном порядке в организации, выполняющие работы, связанные с производством сельскохозяйственной продукции, если в этих деяниях нет состава преступления, влекут наложение штрафа в размере от десяти до пятидесяти базовых величин.</w:t>
      </w:r>
      <w:proofErr w:type="gramEnd"/>
    </w:p>
    <w:p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1"/>
        </w:rPr>
        <w:t>Подразделением ОГАИ РОВД осуществляется к</w:t>
      </w:r>
      <w:r>
        <w:rPr>
          <w:sz w:val="28"/>
          <w:szCs w:val="28"/>
        </w:rPr>
        <w:t xml:space="preserve">онтроль технического состояния техники – задействованной в весенних полевых работах.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577 единиц техники без элементов, влияющих на безопасную эксплуатацию, а также 271 транспортное средство и сельскохозяйственных машин, не прошедших государственный технический осмотр и не имеющих разрешение на допуск к участию в дорожном движении. </w:t>
      </w:r>
    </w:p>
    <w:p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По фактам грубых нарушений транспортной дисциплины п</w:t>
      </w:r>
      <w:r>
        <w:rPr>
          <w:spacing w:val="1"/>
          <w:sz w:val="28"/>
          <w:szCs w:val="28"/>
        </w:rPr>
        <w:t>риняты меры административного воздействия к ряду должностных лиц субъектов хозяйствования АПК, в т. ч.:</w:t>
      </w:r>
    </w:p>
    <w:p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  <w:lang w:val="en-US"/>
        </w:rPr>
        <w:t> </w:t>
      </w:r>
      <w:r>
        <w:rPr>
          <w:spacing w:val="1"/>
          <w:sz w:val="28"/>
          <w:szCs w:val="28"/>
        </w:rPr>
        <w:t xml:space="preserve"> за допуск к управлению техникой водителей (механизаторов);</w:t>
      </w:r>
    </w:p>
    <w:p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  за нарушения </w:t>
      </w:r>
      <w:proofErr w:type="spellStart"/>
      <w:r>
        <w:rPr>
          <w:spacing w:val="1"/>
          <w:sz w:val="28"/>
          <w:szCs w:val="28"/>
        </w:rPr>
        <w:t>предрейсового</w:t>
      </w:r>
      <w:proofErr w:type="spellEnd"/>
      <w:r>
        <w:rPr>
          <w:spacing w:val="1"/>
          <w:sz w:val="28"/>
          <w:szCs w:val="28"/>
        </w:rPr>
        <w:t xml:space="preserve"> контроля водителей;</w:t>
      </w:r>
    </w:p>
    <w:p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 </w:t>
      </w:r>
      <w:r>
        <w:rPr>
          <w:sz w:val="28"/>
          <w:szCs w:val="28"/>
        </w:rPr>
        <w:t xml:space="preserve"> за </w:t>
      </w:r>
      <w:r>
        <w:rPr>
          <w:spacing w:val="1"/>
          <w:sz w:val="28"/>
          <w:szCs w:val="28"/>
        </w:rPr>
        <w:t>допуск к участию в дорожном движении транспортных средств, имеющих неисправности;</w:t>
      </w:r>
    </w:p>
    <w:p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управление трактором </w:t>
      </w:r>
      <w:r>
        <w:rPr>
          <w:sz w:val="28"/>
          <w:szCs w:val="28"/>
        </w:rPr>
        <w:t>не прошедшим государственный технический осмотр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выявленных недостатков должностным лицам АПК области выдано 8 предписаний с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их исполнением.</w:t>
      </w:r>
    </w:p>
    <w:p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Преобладающая часть предписаний связаны с выявлением техники без государственного технического осмотра</w:t>
      </w:r>
      <w:r>
        <w:rPr>
          <w:sz w:val="28"/>
          <w:szCs w:val="28"/>
        </w:rPr>
        <w:t>.</w:t>
      </w:r>
    </w:p>
    <w:p>
      <w:pPr>
        <w:ind w:firstLine="709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Неисполнение предписаний ГАИ является основанием для привлечения должностных лиц сельскохозяйственных предприятий и организаций к административной ответственности (ст. 23.1 </w:t>
      </w:r>
      <w:proofErr w:type="spellStart"/>
      <w:r>
        <w:rPr>
          <w:spacing w:val="1"/>
          <w:sz w:val="28"/>
          <w:szCs w:val="28"/>
        </w:rPr>
        <w:t>КоАП</w:t>
      </w:r>
      <w:proofErr w:type="spellEnd"/>
      <w:r>
        <w:rPr>
          <w:spacing w:val="1"/>
          <w:sz w:val="28"/>
          <w:szCs w:val="28"/>
        </w:rPr>
        <w:t>, предусматривает штраф до 20 базовых величин.</w:t>
      </w:r>
      <w:proofErr w:type="gramEnd"/>
    </w:p>
    <w:p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целом, проводимая работа по линии ГАИ позволила не допустить </w:t>
      </w:r>
      <w:r>
        <w:rPr>
          <w:sz w:val="28"/>
          <w:szCs w:val="28"/>
        </w:rPr>
        <w:t>в период реализации мероприятий, предписанных распоряжением МВД № 18 от 25.02.2020, ДТП</w:t>
      </w:r>
      <w:r>
        <w:rPr>
          <w:snapToGrid w:val="0"/>
          <w:sz w:val="28"/>
          <w:szCs w:val="28"/>
        </w:rPr>
        <w:t xml:space="preserve"> по вине работников субъектов хозяйствования АПК на служебном транспорте.</w:t>
      </w:r>
    </w:p>
    <w:p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Одним из выявленном недостатком является не обеспечение в полном объёме наличия на навесном и прицепном оборудовании предусмотренного заводом изготовителем исправного электрооборудования, а также дополнительно обозначенного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всего навесного и прицепного оборудования, в том числе маячками оранжевого цвета тяжёловесных крупногабаритных транспортных средств.</w:t>
      </w:r>
      <w:proofErr w:type="gram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Также сотрудниками ОГАИ РОВД изучен вопрос обеспеченности работников организаций рабочей одеждой, имеющей </w:t>
      </w:r>
      <w:proofErr w:type="spellStart"/>
      <w:r>
        <w:rPr>
          <w:color w:val="000000"/>
          <w:sz w:val="28"/>
          <w:szCs w:val="28"/>
        </w:rPr>
        <w:t>световозвращающие</w:t>
      </w:r>
      <w:proofErr w:type="spellEnd"/>
      <w:r>
        <w:rPr>
          <w:color w:val="000000"/>
          <w:sz w:val="28"/>
          <w:szCs w:val="28"/>
        </w:rPr>
        <w:t xml:space="preserve"> элементы, обеспеченность составила около 70 %. </w:t>
      </w:r>
      <w:r>
        <w:rPr>
          <w:sz w:val="28"/>
          <w:szCs w:val="28"/>
        </w:rPr>
        <w:t xml:space="preserve">Данные недостатки выявлены в каждом сельскохозяйственном предприятии района.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Подпунктом 3.4 пункта 3 протокола Постоянной комиссии по обеспечению безопасности дорожного движения при Совете Министров Республики Беларусь (№33/24пр от 27 декабря </w:t>
      </w:r>
      <w:smartTag w:uri="urn:schemas-microsoft-com:office:smarttags" w:element="metricconverter">
        <w:smartTagPr>
          <w:attr w:name="ProductID" w:val="2019 г"/>
        </w:smartTagPr>
        <w:r>
          <w:rPr>
            <w:sz w:val="28"/>
            <w:szCs w:val="28"/>
          </w:rPr>
          <w:t>2019 г</w:t>
        </w:r>
      </w:smartTag>
      <w:r>
        <w:rPr>
          <w:sz w:val="28"/>
          <w:szCs w:val="28"/>
        </w:rPr>
        <w:t xml:space="preserve">.) предписано обеспечить оборудование тракторов, задействованных в посевной кампании, маячками оранжевого цвета. При рассмотрении данного вопроса на областной комиссии по обеспечению безопасности дорожного движения райисполкомам поставлена задача до 31 марта </w:t>
      </w:r>
      <w:smartTag w:uri="urn:schemas-microsoft-com:office:smarttags" w:element="metricconverter">
        <w:smartTagPr>
          <w:attr w:name="ProductID" w:val="2020 г"/>
        </w:smartTagPr>
        <w:r>
          <w:rPr>
            <w:sz w:val="28"/>
            <w:szCs w:val="28"/>
          </w:rPr>
          <w:t>2020 г</w:t>
        </w:r>
      </w:smartTag>
      <w:r>
        <w:rPr>
          <w:sz w:val="28"/>
          <w:szCs w:val="28"/>
        </w:rPr>
        <w:t>. обеспечить выполнение данных мероприятий. В этой связи ОГАИ РОВД</w:t>
      </w:r>
      <w:r>
        <w:rPr>
          <w:color w:val="000000"/>
          <w:sz w:val="28"/>
          <w:szCs w:val="28"/>
        </w:rPr>
        <w:t xml:space="preserve"> при проведении обследования будет  изучен данный вопрос и организован соответствующий учет такой техники. 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начальника отдела</w:t>
      </w:r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внутренних дел Круглянского райисполкома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С.М. Лобков</w:t>
      </w:r>
    </w:p>
    <w:sectPr>
      <w:headerReference w:type="even" r:id="rId10"/>
      <w:headerReference w:type="default" r:id="rId11"/>
      <w:pgSz w:w="11906" w:h="16838"/>
      <w:pgMar w:top="1134" w:right="45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2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37B0533"/>
    <w:multiLevelType w:val="multilevel"/>
    <w:tmpl w:val="5C3CCF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4">
    <w:name w:val="Знак Знак Знак Знак Знак Знак Знак Знак Знак Знак Знак"/>
    <w:basedOn w:val="a"/>
    <w:autoRedefine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5">
    <w:name w:val="Основной текст_ Знак"/>
    <w:link w:val="a6"/>
    <w:uiPriority w:val="99"/>
    <w:locked/>
    <w:rPr>
      <w:sz w:val="29"/>
      <w:shd w:val="clear" w:color="auto" w:fill="FFFFFF"/>
    </w:rPr>
  </w:style>
  <w:style w:type="paragraph" w:customStyle="1" w:styleId="a6">
    <w:name w:val="Основной текст_"/>
    <w:basedOn w:val="a"/>
    <w:link w:val="a5"/>
    <w:uiPriority w:val="99"/>
    <w:pPr>
      <w:widowControl w:val="0"/>
      <w:shd w:val="clear" w:color="auto" w:fill="FFFFFF"/>
      <w:spacing w:after="240" w:line="283" w:lineRule="exact"/>
    </w:pPr>
    <w:rPr>
      <w:sz w:val="29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-">
    <w:name w:val="Текст-документа"/>
    <w:basedOn w:val="a"/>
    <w:uiPriority w:val="99"/>
    <w:pPr>
      <w:ind w:firstLine="720"/>
      <w:jc w:val="both"/>
    </w:pPr>
  </w:style>
  <w:style w:type="paragraph" w:customStyle="1" w:styleId="mess">
    <w:name w:val="mess"/>
    <w:basedOn w:val="a"/>
    <w:uiPriority w:val="99"/>
    <w:pPr>
      <w:spacing w:before="57" w:after="57" w:line="200" w:lineRule="atLeast"/>
      <w:ind w:left="57" w:right="57"/>
      <w:jc w:val="both"/>
    </w:pPr>
    <w:rPr>
      <w:sz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Pr>
      <w:rFonts w:cs="Times New Roman"/>
      <w:sz w:val="28"/>
      <w:lang w:val="ru-RU" w:eastAsia="ru-RU"/>
    </w:rPr>
  </w:style>
  <w:style w:type="paragraph" w:styleId="a9">
    <w:name w:val="Body Text"/>
    <w:basedOn w:val="a"/>
    <w:link w:val="aa"/>
    <w:uiPriority w:val="99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4"/>
      <w:lang w:val="ru-RU" w:eastAsia="ru-RU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Pr>
      <w:rFonts w:ascii="Courier New" w:hAnsi="Courier New" w:cs="Times New Roman"/>
    </w:rPr>
  </w:style>
  <w:style w:type="character" w:customStyle="1" w:styleId="FontStyle13">
    <w:name w:val="Font Style13"/>
    <w:rPr>
      <w:rFonts w:ascii="Times New Roman" w:hAnsi="Times New Roman"/>
      <w:sz w:val="16"/>
    </w:rPr>
  </w:style>
  <w:style w:type="paragraph" w:customStyle="1" w:styleId="1">
    <w:name w:val="Знак1"/>
    <w:basedOn w:val="a"/>
    <w:autoRedefine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Основной текст1"/>
    <w:basedOn w:val="a"/>
    <w:uiPriority w:val="99"/>
    <w:pPr>
      <w:widowControl w:val="0"/>
      <w:shd w:val="clear" w:color="auto" w:fill="FFFFFF"/>
      <w:spacing w:after="240" w:line="274" w:lineRule="exact"/>
    </w:pPr>
    <w:rPr>
      <w:szCs w:val="30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customStyle="1" w:styleId="af2">
    <w:name w:val="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343" w:lineRule="exact"/>
      <w:ind w:firstLine="696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0C76280AB65FF28C33BB555C7095BBDAFA1DAC00BC8F97A9A77273CE27904E585B753425FB2C0099DAE5038826A2B0EBFX31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A5956DB5FC51F5EA7BDFC66EF197B9881E8AF80512A0C09C489FC7A4A8EB81011D52BF90B85356B0A01179B673AC8F4F3V21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2190C052C8254794B0D199A5ABA1B37D5EB6255E9F94BBA1403053F2AE18174364F00B36FADB79A9719E1089F654888BA0U71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поручения Главы государства и в целях обеспечения мероприятий по окончанию уборочной кампании, предотвращению преступных посягательств на товарно-материальные ценности сельскохозяйственных организаций, а также качественной подготовки и пост</vt:lpstr>
    </vt:vector>
  </TitlesOfParts>
  <Company>RePack by SPecialiST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поручения Главы государства и в целях обеспечения мероприятий по окончанию уборочной кампании, предотвращению преступных посягательств на товарно-материальные ценности сельскохозяйственных организаций, а также качественной подготовки и пост</dc:title>
  <dc:creator>OVD</dc:creator>
  <cp:lastModifiedBy>ПОЛЬЗОВАТЕЛЬ</cp:lastModifiedBy>
  <cp:revision>3</cp:revision>
  <cp:lastPrinted>2020-03-24T05:27:00Z</cp:lastPrinted>
  <dcterms:created xsi:type="dcterms:W3CDTF">2020-03-25T14:17:00Z</dcterms:created>
  <dcterms:modified xsi:type="dcterms:W3CDTF">2020-03-25T14:19:00Z</dcterms:modified>
</cp:coreProperties>
</file>